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TÉCNICO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IDENTIFICACIÓN Y RESCATE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Presentado por: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[Nombre del conservador]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Conservador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Mes, año</w:t>
      </w:r>
    </w:p>
    <w:p w:rsidR="00000000" w:rsidDel="00000000" w:rsidP="00000000" w:rsidRDefault="00000000" w:rsidRPr="00000000" w14:paraId="00000014">
      <w:pPr>
        <w:rPr>
          <w:sz w:val="28"/>
          <w:szCs w:val="28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ÍNDICE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INTRODUCCIÓN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Criterios de preservación (criterios transversales a usarse en la etapa elegida de intervención sobre el material y la obra).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Reporte de rescate y recuperación: custodio, traslados, entre otros.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Equipo y herramientas técnicas participantes en los procesos.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ser el caso, reporte de instituciones participantes y actividades en la que intervinieron.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TRATAMIENTO DE LAS OBRAS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(PROCESO DE ANTES, DURANTE Y DESPUÉS CON REGISTRO FOTOGRÁFICO)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[PATRIMONIO AUDIOVISUAL 1]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3.1.1. Informe del estado de la obra: deterioros encontrados con ficha de inspección técnica adjunta en anexos.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3.1.2. Descripción de los procesos de estabilización, reparación y/o restauración física del material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……..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[PATRIMONIO AUDIOVISUAL …]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MATERIALES Y TÉCNICAS DE CONSERVACIÓN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CON REGISTRO FOTOGRÁFICO)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41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[PATRIMONIO AUDIOVISUAL 1]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4.1.1. Reporte de actividades de conservación física ejecutadas sobre la(s) obra(s).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APROXIMACIÓN HISTÓRICA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Reporte contextual e histórico de la obra.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Reporte contextual e histórico del material físico.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CONCLUSIONES Y TRABAJO A FUTURO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ANEXOS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</w:t>
      </w:r>
      <w:r w:rsidDel="00000000" w:rsidR="00000000" w:rsidRPr="00000000">
        <w:rPr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Ficha técnica de inspección del material físico.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</w:t>
      </w:r>
      <w:r w:rsidDel="00000000" w:rsidR="00000000" w:rsidRPr="00000000">
        <w:rPr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Fotos, entre otros.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REFERENCIAS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3A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3B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jc w:val="center"/>
      <w:rPr/>
    </w:pPr>
    <w:r w:rsidDel="00000000" w:rsidR="00000000" w:rsidRPr="00000000">
      <w:rPr>
        <w:rtl w:val="0"/>
      </w:rPr>
      <w:t xml:space="preserve">CONCURSO NACIONAL DE PROYECTOS DE PRESERVACIÓN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440" w:hanging="360"/>
      </w:pPr>
      <w:rPr/>
    </w:lvl>
    <w:lvl w:ilvl="2">
      <w:start w:val="1"/>
      <w:numFmt w:val="decimal"/>
      <w:lvlText w:val="%1.%2.%3"/>
      <w:lvlJc w:val="left"/>
      <w:pPr>
        <w:ind w:left="2520" w:hanging="720"/>
      </w:pPr>
      <w:rPr/>
    </w:lvl>
    <w:lvl w:ilvl="3">
      <w:start w:val="1"/>
      <w:numFmt w:val="decimal"/>
      <w:lvlText w:val="%1.%2.%3.%4"/>
      <w:lvlJc w:val="left"/>
      <w:pPr>
        <w:ind w:left="3240" w:hanging="720"/>
      </w:pPr>
      <w:rPr/>
    </w:lvl>
    <w:lvl w:ilvl="4">
      <w:start w:val="1"/>
      <w:numFmt w:val="decimal"/>
      <w:lvlText w:val="%1.%2.%3.%4.%5"/>
      <w:lvlJc w:val="left"/>
      <w:pPr>
        <w:ind w:left="4320" w:hanging="1080"/>
      </w:pPr>
      <w:rPr/>
    </w:lvl>
    <w:lvl w:ilvl="5">
      <w:start w:val="1"/>
      <w:numFmt w:val="decimal"/>
      <w:lvlText w:val="%1.%2.%3.%4.%5.%6"/>
      <w:lvlJc w:val="left"/>
      <w:pPr>
        <w:ind w:left="5040" w:hanging="1080"/>
      </w:pPr>
      <w:rPr/>
    </w:lvl>
    <w:lvl w:ilvl="6">
      <w:start w:val="1"/>
      <w:numFmt w:val="decimal"/>
      <w:lvlText w:val="%1.%2.%3.%4.%5.%6.%7"/>
      <w:lvlJc w:val="left"/>
      <w:pPr>
        <w:ind w:left="6120" w:hanging="1440"/>
      </w:pPr>
      <w:rPr/>
    </w:lvl>
    <w:lvl w:ilvl="7">
      <w:start w:val="1"/>
      <w:numFmt w:val="decimal"/>
      <w:lvlText w:val="%1.%2.%3.%4.%5.%6.%7.%8"/>
      <w:lvlJc w:val="left"/>
      <w:pPr>
        <w:ind w:left="6840" w:hanging="1440"/>
      </w:pPr>
      <w:rPr/>
    </w:lvl>
    <w:lvl w:ilvl="8">
      <w:start w:val="1"/>
      <w:numFmt w:val="decimal"/>
      <w:lvlText w:val="%1.%2.%3.%4.%5.%6.%7.%8.%9"/>
      <w:lvlJc w:val="left"/>
      <w:pPr>
        <w:ind w:left="792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j7pBu9Ra/opZ5Yj+1u1cGy1EVQ==">CgMxLjAyCGguZ2pkZ3hzOAByITFtZHU3bzBqcmdRcUp0SlRuQTUwYmsyRHBLWUlqSjczMg==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2022-10-17T23:31:00Z</dcterms:created>
  <dc:creator>Servicio Terceros - 18</dc:creator>
</cp:coreProperties>
</file>